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F41940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344C4B">
        <w:rPr>
          <w:rFonts w:ascii="TH SarabunPSK" w:hAnsi="TH SarabunPSK" w:cs="TH SarabunPSK"/>
          <w:sz w:val="32"/>
          <w:szCs w:val="32"/>
          <w:cs/>
        </w:rPr>
        <w:t>เชิงปฏิบัติการ 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2377A4">
        <w:rPr>
          <w:rFonts w:ascii="TH SarabunPSK" w:hAnsi="TH SarabunPSK" w:cs="TH SarabunPSK" w:hint="cs"/>
          <w:sz w:val="32"/>
          <w:szCs w:val="32"/>
          <w:cs/>
        </w:rPr>
        <w:t>การวิเคราะห์แผนบริหารความเสี่ยงของหน่วยงาน</w:t>
      </w:r>
    </w:p>
    <w:p w:rsidR="00A33A4B" w:rsidRDefault="00F41940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377A4">
        <w:rPr>
          <w:rFonts w:ascii="TH SarabunPSK" w:hAnsi="TH SarabunPSK" w:cs="TH SarabunPSK" w:hint="cs"/>
          <w:sz w:val="32"/>
          <w:szCs w:val="32"/>
          <w:cs/>
        </w:rPr>
        <w:t>29</w:t>
      </w:r>
      <w:r w:rsidR="00141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7A4">
        <w:rPr>
          <w:rFonts w:ascii="TH SarabunPSK" w:hAnsi="TH SarabunPSK" w:cs="TH SarabunPSK" w:hint="cs"/>
          <w:sz w:val="32"/>
          <w:szCs w:val="32"/>
          <w:cs/>
        </w:rPr>
        <w:t>-</w:t>
      </w:r>
      <w:r w:rsidR="00141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7A4">
        <w:rPr>
          <w:rFonts w:ascii="TH SarabunPSK" w:hAnsi="TH SarabunPSK" w:cs="TH SarabunPSK" w:hint="cs"/>
          <w:sz w:val="32"/>
          <w:szCs w:val="32"/>
          <w:cs/>
        </w:rPr>
        <w:t>30 พฤษภาคม</w:t>
      </w:r>
      <w:r w:rsidR="00A33A4B" w:rsidRPr="00344C4B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1B19EA">
        <w:rPr>
          <w:rFonts w:ascii="TH SarabunPSK" w:hAnsi="TH SarabunPSK" w:cs="TH SarabunPSK"/>
          <w:sz w:val="32"/>
          <w:szCs w:val="32"/>
        </w:rPr>
        <w:t xml:space="preserve"> 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1B19EA">
        <w:rPr>
          <w:rFonts w:ascii="TH SarabunPSK" w:hAnsi="TH SarabunPSK" w:cs="TH SarabunPSK"/>
          <w:sz w:val="32"/>
          <w:szCs w:val="32"/>
          <w:cs/>
        </w:rPr>
        <w:t>–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ห้องบุนนาค (ห้อง 701</w:t>
      </w:r>
      <w:r w:rsidR="001B19EA">
        <w:rPr>
          <w:rFonts w:ascii="TH SarabunPSK" w:hAnsi="TH SarabunPSK" w:cs="TH SarabunPSK" w:hint="cs"/>
          <w:sz w:val="32"/>
          <w:szCs w:val="32"/>
          <w:cs/>
        </w:rPr>
        <w:t>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3E2B33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83" w:type="dxa"/>
          </w:tcPr>
          <w:p w:rsidR="00917B6B" w:rsidRPr="00917B6B" w:rsidRDefault="003E2B33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3E2B33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983" w:type="dxa"/>
          </w:tcPr>
          <w:p w:rsidR="00917B6B" w:rsidRPr="00917B6B" w:rsidRDefault="003E2B33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80%</w:t>
            </w:r>
          </w:p>
        </w:tc>
      </w:tr>
    </w:tbl>
    <w:p w:rsidR="00A33A4B" w:rsidRDefault="00917B6B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1709C62F" wp14:editId="68A70005">
            <wp:extent cx="3538330" cy="2337683"/>
            <wp:effectExtent l="0" t="0" r="2413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Style w:val="TableGrid"/>
        <w:tblpPr w:leftFromText="180" w:rightFromText="180" w:vertAnchor="text" w:horzAnchor="margin" w:tblpXSpec="right" w:tblpY="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33B2A" w:rsidRPr="00B33B2A" w:rsidTr="0073637F">
        <w:trPr>
          <w:trHeight w:val="430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ผู้บริหารสายวิชาการ</w:t>
            </w:r>
          </w:p>
        </w:tc>
        <w:tc>
          <w:tcPr>
            <w:tcW w:w="1116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7</w:t>
            </w:r>
          </w:p>
        </w:tc>
        <w:tc>
          <w:tcPr>
            <w:tcW w:w="983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1116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983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1116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45</w:t>
            </w:r>
          </w:p>
        </w:tc>
        <w:tc>
          <w:tcPr>
            <w:tcW w:w="983" w:type="dxa"/>
          </w:tcPr>
          <w:p w:rsidR="00B33B2A" w:rsidRPr="00B33B2A" w:rsidRDefault="00C13E0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CC65FE" w:rsidRDefault="0073637F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4DC09DF" wp14:editId="1873A3B4">
            <wp:extent cx="3538330" cy="2409245"/>
            <wp:effectExtent l="0" t="0" r="24130" b="101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46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B33B2A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637F" w:rsidRPr="00B33B2A" w:rsidTr="0073637F">
        <w:trPr>
          <w:trHeight w:val="430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ต่ำกว่าปริญญาตรี</w:t>
            </w:r>
          </w:p>
        </w:tc>
        <w:tc>
          <w:tcPr>
            <w:tcW w:w="1116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3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983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52%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116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983" w:type="dxa"/>
          </w:tcPr>
          <w:p w:rsidR="0073637F" w:rsidRPr="00B33B2A" w:rsidRDefault="00CD32CB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48%</w:t>
            </w:r>
          </w:p>
        </w:tc>
      </w:tr>
    </w:tbl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E4C41C8" wp14:editId="0E845B6B">
            <wp:extent cx="3593990" cy="2608028"/>
            <wp:effectExtent l="0" t="0" r="26035" b="209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t>4. อายุงาน</w:t>
      </w:r>
    </w:p>
    <w:tbl>
      <w:tblPr>
        <w:tblStyle w:val="TableGrid"/>
        <w:tblpPr w:leftFromText="180" w:rightFromText="180" w:vertAnchor="text" w:horzAnchor="margin" w:tblpXSpec="right" w:tblpY="8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6707A" w:rsidRPr="0056707A" w:rsidTr="0056707A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อายุงาน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6707A" w:rsidRPr="0056707A" w:rsidTr="0056707A">
        <w:trPr>
          <w:trHeight w:val="430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83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 xml:space="preserve">10 - 20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983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16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983" w:type="dxa"/>
          </w:tcPr>
          <w:p w:rsidR="0056707A" w:rsidRPr="0056707A" w:rsidRDefault="00EC59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56707A" w:rsidRDefault="0056707A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3D1925DA" wp14:editId="08CDEFAB">
            <wp:extent cx="3593990" cy="2560320"/>
            <wp:effectExtent l="0" t="0" r="26035" b="1143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6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A5107D" w:rsidRPr="00A5107D" w:rsidTr="00A5107D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107D" w:rsidRPr="00A5107D" w:rsidTr="00A5107D">
        <w:trPr>
          <w:trHeight w:val="430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ส่วนงานวิชาการ</w:t>
            </w:r>
          </w:p>
        </w:tc>
        <w:tc>
          <w:tcPr>
            <w:tcW w:w="1116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83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ส่วนงานอื่น</w:t>
            </w:r>
          </w:p>
        </w:tc>
        <w:tc>
          <w:tcPr>
            <w:tcW w:w="1116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83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สำนักงานสภาสถาบัน</w:t>
            </w:r>
          </w:p>
        </w:tc>
        <w:tc>
          <w:tcPr>
            <w:tcW w:w="1116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3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สำนักงานอธิการบดี</w:t>
            </w:r>
          </w:p>
        </w:tc>
        <w:tc>
          <w:tcPr>
            <w:tcW w:w="1116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83" w:type="dxa"/>
          </w:tcPr>
          <w:p w:rsidR="00A5107D" w:rsidRPr="00A5107D" w:rsidRDefault="00E60D0C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40%</w:t>
            </w:r>
          </w:p>
        </w:tc>
      </w:tr>
    </w:tbl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F1EA3AC" wp14:editId="7579BC1F">
            <wp:extent cx="3593990" cy="2743200"/>
            <wp:effectExtent l="0" t="0" r="26035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P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</w:t>
      </w:r>
    </w:p>
    <w:p w:rsidR="00E65FDA" w:rsidRPr="00E337A4" w:rsidRDefault="00A5107D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ด้านวิชาการ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วิทยากรมีความรอบรู้ในเนื้อหาและสามารถถ่ายทอดให้มีความเข้าใจในการจัดทำแผน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71%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A663B8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74615F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7379D77B" wp14:editId="2877CE06">
            <wp:extent cx="3593990" cy="2417196"/>
            <wp:effectExtent l="0" t="0" r="26035" b="215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วิทยากรมีความสามารถในการจัดลำดับความสัมพันธ์ของเนื้อหาที่สอดคล้องต่อเนื่อง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="000D5C3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2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</w:t>
            </w:r>
            <w:r w:rsidR="000D5C3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="000D5C3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0D5C3C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176578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  <w:r w:rsidR="000D5C3C"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03110A" w:rsidRPr="0003110A" w:rsidRDefault="00FB7A39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AD8CC98" wp14:editId="342E62FD">
            <wp:extent cx="3593990" cy="2353586"/>
            <wp:effectExtent l="0" t="0" r="26035" b="2794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วิทยากรบรรยายด้วยน้ำเสียงดังชัดเจน ได้สาระใจความ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242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63%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A7CEE" w:rsidRPr="00EA7CEE" w:rsidRDefault="000D5C3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903D3E" w:rsidRPr="0003110A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16E86AF" wp14:editId="055A8DC4">
            <wp:extent cx="3593990" cy="2464904"/>
            <wp:effectExtent l="0" t="0" r="26035" b="1206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CEE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1.4 </w:t>
      </w:r>
      <w:r w:rsidR="00CD5EDD">
        <w:rPr>
          <w:rFonts w:ascii="TH SarabunPSK" w:hAnsi="TH SarabunPSK" w:cs="TH SarabunPSK" w:hint="cs"/>
          <w:sz w:val="32"/>
          <w:szCs w:val="32"/>
          <w:cs/>
        </w:rPr>
        <w:t>วิทยากรเปิดโอกาสให้ซักถาม/ตอบคำถาม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242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56%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9A4D0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AAF" w:rsidRPr="0003110A" w:rsidRDefault="00CE297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EB57D03" wp14:editId="0531FBD8">
            <wp:extent cx="3625795" cy="2401294"/>
            <wp:effectExtent l="0" t="0" r="13335" b="1841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2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1242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9E3C6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077D72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CA44C10" wp14:editId="4F5F1043">
            <wp:extent cx="3625795" cy="2488758"/>
            <wp:effectExtent l="0" t="0" r="13335" b="2603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0BED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1.6/1.7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ก่อนและหลัง</w:t>
      </w:r>
      <w:r w:rsidR="00626ECD">
        <w:rPr>
          <w:rFonts w:ascii="TH SarabunPSK" w:hAnsi="TH SarabunPSK" w:cs="TH SarabunPSK" w:hint="cs"/>
          <w:sz w:val="32"/>
          <w:szCs w:val="32"/>
          <w:cs/>
        </w:rPr>
        <w:t>การประชุมผู้เข้าอบรมีความเข้าใจในการวิเคราะห์แผนบริหารความเสี่ยงของหน่วยงาน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5147E">
        <w:tc>
          <w:tcPr>
            <w:tcW w:w="4252" w:type="dxa"/>
            <w:gridSpan w:val="3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5147E">
        <w:tc>
          <w:tcPr>
            <w:tcW w:w="198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5147E">
        <w:tc>
          <w:tcPr>
            <w:tcW w:w="4252" w:type="dxa"/>
            <w:gridSpan w:val="3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5147E">
        <w:tc>
          <w:tcPr>
            <w:tcW w:w="198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3B385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92D78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F4B1539" wp14:editId="699B4462">
            <wp:extent cx="3625795" cy="3395207"/>
            <wp:effectExtent l="0" t="0" r="1333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</w:t>
      </w:r>
      <w:r w:rsidR="002F20ED">
        <w:rPr>
          <w:rFonts w:ascii="TH SarabunPSK" w:hAnsi="TH SarabunPSK" w:cs="TH SarabunPSK" w:hint="cs"/>
          <w:sz w:val="30"/>
          <w:szCs w:val="30"/>
          <w:cs/>
        </w:rPr>
        <w:t>ประชุม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236271">
        <w:rPr>
          <w:rFonts w:ascii="TH SarabunPSK" w:hAnsi="TH SarabunPSK" w:cs="TH SarabunPSK" w:hint="cs"/>
          <w:sz w:val="30"/>
          <w:szCs w:val="30"/>
          <w:cs/>
        </w:rPr>
        <w:t>53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1.8</w:t>
      </w:r>
      <w:r w:rsidR="00600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650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สามารถนำความรู้ความเข้าใจที่ได้รับไปปรับใช้ใน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A05DA">
        <w:rPr>
          <w:rFonts w:ascii="TH SarabunPSK" w:hAnsi="TH SarabunPSK" w:cs="TH SarabunPSK" w:hint="cs"/>
          <w:sz w:val="32"/>
          <w:szCs w:val="32"/>
          <w:cs/>
        </w:rPr>
        <w:t>วิเคราะห์แผนบริหารความเสี่ยงของหน่วยงาน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1C0230" w:rsidRPr="001C0230" w:rsidTr="001C0230">
        <w:tc>
          <w:tcPr>
            <w:tcW w:w="198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42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242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74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42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1C0230" w:rsidRPr="001C0230" w:rsidRDefault="00FD732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8E38B5" w:rsidRPr="00FF031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C8F4E0" wp14:editId="7EC43D68">
            <wp:extent cx="3641697" cy="2337683"/>
            <wp:effectExtent l="0" t="0" r="16510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ผู้เข้า</w:t>
      </w:r>
      <w:r w:rsidR="003415DC">
        <w:rPr>
          <w:rFonts w:ascii="TH SarabunPSK" w:hAnsi="TH SarabunPSK" w:cs="TH SarabunPSK" w:hint="cs"/>
          <w:sz w:val="32"/>
          <w:szCs w:val="32"/>
          <w:cs/>
        </w:rPr>
        <w:t>ประชุมมีความสามารถในการวิเคราะห์แผนบริหารความเสี่ยงของหน่วยงานได้ตรงตามพันธกิจของหน่วยงาน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242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42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4C241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8422F1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D37F2DC" wp14:editId="47B6339E">
            <wp:extent cx="3641697" cy="2560320"/>
            <wp:effectExtent l="0" t="0" r="16510" b="1143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07245" w:rsidRPr="00341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7245"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การตอบรับ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242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431AA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08A5C" wp14:editId="7472DCEA">
            <wp:extent cx="3641697" cy="2449001"/>
            <wp:effectExtent l="0" t="0" r="16510" b="279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C3624">
        <w:rPr>
          <w:rFonts w:ascii="TH SarabunPSK" w:hAnsi="TH SarabunPSK" w:cs="TH SarabunPSK"/>
          <w:sz w:val="32"/>
          <w:szCs w:val="32"/>
        </w:rPr>
        <w:t xml:space="preserve">.2 </w:t>
      </w:r>
      <w:r w:rsidR="004C3624"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 และเอกสารประกอบการอบรม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AC10B3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9D6540" w:rsidRPr="009D6540" w:rsidRDefault="00AC10B3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AC10B3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242" w:type="dxa"/>
          </w:tcPr>
          <w:p w:rsidR="009D6540" w:rsidRPr="009D6540" w:rsidRDefault="00AC10B3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AC10B3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9D6540" w:rsidRPr="009D6540" w:rsidRDefault="00AC10B3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AC10B3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AC10B3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AC10B3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AC10B3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B6D758" wp14:editId="36FE4B64">
            <wp:extent cx="3768918" cy="2552369"/>
            <wp:effectExtent l="0" t="0" r="2222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6257D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 w:rsidR="001D3093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</w:t>
      </w:r>
      <w:r w:rsidR="00DB2B25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EE52B0">
        <w:tc>
          <w:tcPr>
            <w:tcW w:w="198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1242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42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62%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E87BD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EE52B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EB8B18" wp14:editId="792FD3CE">
            <wp:extent cx="3768918" cy="2655736"/>
            <wp:effectExtent l="0" t="0" r="22225" b="1143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53789">
        <w:tc>
          <w:tcPr>
            <w:tcW w:w="198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1242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124F6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3CBD28E" wp14:editId="5A334081">
            <wp:extent cx="3768918" cy="2568271"/>
            <wp:effectExtent l="0" t="0" r="22225" b="2286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53789">
        <w:tc>
          <w:tcPr>
            <w:tcW w:w="198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242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41042B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7333D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>
        <w:rPr>
          <w:noProof/>
        </w:rPr>
        <w:drawing>
          <wp:inline distT="0" distB="0" distL="0" distR="0" wp14:anchorId="4B4BE3A3" wp14:editId="03108819">
            <wp:extent cx="3697357" cy="2282024"/>
            <wp:effectExtent l="0" t="0" r="17780" b="2349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0"/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6B1E41" w:rsidRPr="00B65557" w:rsidRDefault="00B65557" w:rsidP="0041601F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1601F" w:rsidRPr="0041601F">
        <w:rPr>
          <w:rFonts w:ascii="TH SarabunPSK" w:hAnsi="TH SarabunPSK" w:cs="TH SarabunPSK"/>
          <w:sz w:val="32"/>
          <w:szCs w:val="32"/>
          <w:cs/>
        </w:rPr>
        <w:t>เห็นด้วยกับการจัดการอบรมแบบกลุ่ม เนื่องจากมีโอกาสได้ซักถามได้ดีขึ้น</w:t>
      </w: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0819"/>
    <w:rsid w:val="00005E29"/>
    <w:rsid w:val="000216D6"/>
    <w:rsid w:val="0003110A"/>
    <w:rsid w:val="00031AAF"/>
    <w:rsid w:val="00033F79"/>
    <w:rsid w:val="00042BB0"/>
    <w:rsid w:val="0006247B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C5A47"/>
    <w:rsid w:val="000D5C3C"/>
    <w:rsid w:val="000E647B"/>
    <w:rsid w:val="00107245"/>
    <w:rsid w:val="00111E70"/>
    <w:rsid w:val="00124F68"/>
    <w:rsid w:val="0013425D"/>
    <w:rsid w:val="00141647"/>
    <w:rsid w:val="00142CB3"/>
    <w:rsid w:val="001556CF"/>
    <w:rsid w:val="001567AC"/>
    <w:rsid w:val="00173176"/>
    <w:rsid w:val="00173816"/>
    <w:rsid w:val="00176578"/>
    <w:rsid w:val="00181B38"/>
    <w:rsid w:val="00194D36"/>
    <w:rsid w:val="001970B1"/>
    <w:rsid w:val="001A4146"/>
    <w:rsid w:val="001B19EA"/>
    <w:rsid w:val="001C0230"/>
    <w:rsid w:val="001D3093"/>
    <w:rsid w:val="001F716D"/>
    <w:rsid w:val="00211B63"/>
    <w:rsid w:val="00226D3B"/>
    <w:rsid w:val="0023291D"/>
    <w:rsid w:val="00236271"/>
    <w:rsid w:val="002377A4"/>
    <w:rsid w:val="00292D78"/>
    <w:rsid w:val="00294230"/>
    <w:rsid w:val="0029592C"/>
    <w:rsid w:val="002A12F7"/>
    <w:rsid w:val="002C2650"/>
    <w:rsid w:val="002E6700"/>
    <w:rsid w:val="002F20ED"/>
    <w:rsid w:val="0030031A"/>
    <w:rsid w:val="00300508"/>
    <w:rsid w:val="003169BB"/>
    <w:rsid w:val="0032498D"/>
    <w:rsid w:val="00334310"/>
    <w:rsid w:val="0033439C"/>
    <w:rsid w:val="003415DC"/>
    <w:rsid w:val="00341E54"/>
    <w:rsid w:val="00344C4B"/>
    <w:rsid w:val="00351A68"/>
    <w:rsid w:val="003607F3"/>
    <w:rsid w:val="00385877"/>
    <w:rsid w:val="00386A19"/>
    <w:rsid w:val="003B3859"/>
    <w:rsid w:val="003C72BB"/>
    <w:rsid w:val="003E2B33"/>
    <w:rsid w:val="00400BED"/>
    <w:rsid w:val="0041042B"/>
    <w:rsid w:val="0041334A"/>
    <w:rsid w:val="0041601F"/>
    <w:rsid w:val="00431AA5"/>
    <w:rsid w:val="00437DC7"/>
    <w:rsid w:val="00464847"/>
    <w:rsid w:val="0049230B"/>
    <w:rsid w:val="0049376E"/>
    <w:rsid w:val="004C241E"/>
    <w:rsid w:val="004C3624"/>
    <w:rsid w:val="004E25A0"/>
    <w:rsid w:val="004F4EE2"/>
    <w:rsid w:val="00501FEF"/>
    <w:rsid w:val="00516EEE"/>
    <w:rsid w:val="005215F8"/>
    <w:rsid w:val="00521BEB"/>
    <w:rsid w:val="00542091"/>
    <w:rsid w:val="00546459"/>
    <w:rsid w:val="00547712"/>
    <w:rsid w:val="00552CCB"/>
    <w:rsid w:val="00560085"/>
    <w:rsid w:val="0056707A"/>
    <w:rsid w:val="00584FCB"/>
    <w:rsid w:val="005968A8"/>
    <w:rsid w:val="005B4E6B"/>
    <w:rsid w:val="006007E3"/>
    <w:rsid w:val="006257D6"/>
    <w:rsid w:val="00626ECD"/>
    <w:rsid w:val="0065147E"/>
    <w:rsid w:val="006535FE"/>
    <w:rsid w:val="006645D9"/>
    <w:rsid w:val="00666C3A"/>
    <w:rsid w:val="00677A9E"/>
    <w:rsid w:val="006A6437"/>
    <w:rsid w:val="006A75C6"/>
    <w:rsid w:val="006B1E41"/>
    <w:rsid w:val="006B23FB"/>
    <w:rsid w:val="006C5F08"/>
    <w:rsid w:val="006D658E"/>
    <w:rsid w:val="006E212A"/>
    <w:rsid w:val="006E6A61"/>
    <w:rsid w:val="00701069"/>
    <w:rsid w:val="007201AC"/>
    <w:rsid w:val="007333D4"/>
    <w:rsid w:val="0073637F"/>
    <w:rsid w:val="0074615F"/>
    <w:rsid w:val="007529D0"/>
    <w:rsid w:val="00752CE5"/>
    <w:rsid w:val="007A498E"/>
    <w:rsid w:val="007C2C52"/>
    <w:rsid w:val="007C6BD1"/>
    <w:rsid w:val="007D3773"/>
    <w:rsid w:val="008233CD"/>
    <w:rsid w:val="00824C59"/>
    <w:rsid w:val="008422F1"/>
    <w:rsid w:val="008602FF"/>
    <w:rsid w:val="0086316D"/>
    <w:rsid w:val="00877F5B"/>
    <w:rsid w:val="008A696E"/>
    <w:rsid w:val="008D2C4F"/>
    <w:rsid w:val="008E38B5"/>
    <w:rsid w:val="008F1070"/>
    <w:rsid w:val="008F7CED"/>
    <w:rsid w:val="00902A7C"/>
    <w:rsid w:val="00903D3E"/>
    <w:rsid w:val="00917B6B"/>
    <w:rsid w:val="009666AC"/>
    <w:rsid w:val="009A4D00"/>
    <w:rsid w:val="009B6E01"/>
    <w:rsid w:val="009B6E29"/>
    <w:rsid w:val="009C0AA2"/>
    <w:rsid w:val="009D6540"/>
    <w:rsid w:val="009E3C6E"/>
    <w:rsid w:val="009F3E46"/>
    <w:rsid w:val="009F5A5A"/>
    <w:rsid w:val="00A02F15"/>
    <w:rsid w:val="00A062CC"/>
    <w:rsid w:val="00A10BC4"/>
    <w:rsid w:val="00A12EBA"/>
    <w:rsid w:val="00A33A4B"/>
    <w:rsid w:val="00A34BE3"/>
    <w:rsid w:val="00A5107D"/>
    <w:rsid w:val="00A53789"/>
    <w:rsid w:val="00A663B8"/>
    <w:rsid w:val="00A7236A"/>
    <w:rsid w:val="00A7527C"/>
    <w:rsid w:val="00A933DE"/>
    <w:rsid w:val="00A958CF"/>
    <w:rsid w:val="00AA05DA"/>
    <w:rsid w:val="00AC10B3"/>
    <w:rsid w:val="00AC7D90"/>
    <w:rsid w:val="00AE7094"/>
    <w:rsid w:val="00B15352"/>
    <w:rsid w:val="00B3310E"/>
    <w:rsid w:val="00B33B2A"/>
    <w:rsid w:val="00B471F0"/>
    <w:rsid w:val="00B65557"/>
    <w:rsid w:val="00B663B3"/>
    <w:rsid w:val="00B70CA7"/>
    <w:rsid w:val="00B71504"/>
    <w:rsid w:val="00BC44F2"/>
    <w:rsid w:val="00BC6238"/>
    <w:rsid w:val="00BE4B3C"/>
    <w:rsid w:val="00BF38C0"/>
    <w:rsid w:val="00BF4FB5"/>
    <w:rsid w:val="00C13A4A"/>
    <w:rsid w:val="00C13E07"/>
    <w:rsid w:val="00C30DE5"/>
    <w:rsid w:val="00C325C8"/>
    <w:rsid w:val="00C61862"/>
    <w:rsid w:val="00CA7B08"/>
    <w:rsid w:val="00CC65FE"/>
    <w:rsid w:val="00CC6658"/>
    <w:rsid w:val="00CD32CB"/>
    <w:rsid w:val="00CD5EDD"/>
    <w:rsid w:val="00CE2975"/>
    <w:rsid w:val="00CF7771"/>
    <w:rsid w:val="00D050DB"/>
    <w:rsid w:val="00D46D20"/>
    <w:rsid w:val="00D54EE0"/>
    <w:rsid w:val="00D64164"/>
    <w:rsid w:val="00D74339"/>
    <w:rsid w:val="00DB2B25"/>
    <w:rsid w:val="00DF0B0E"/>
    <w:rsid w:val="00E337A4"/>
    <w:rsid w:val="00E40A4E"/>
    <w:rsid w:val="00E57B3D"/>
    <w:rsid w:val="00E60D0C"/>
    <w:rsid w:val="00E642C1"/>
    <w:rsid w:val="00E65FDA"/>
    <w:rsid w:val="00E73AB7"/>
    <w:rsid w:val="00E87BD3"/>
    <w:rsid w:val="00EA2F7B"/>
    <w:rsid w:val="00EA7CEE"/>
    <w:rsid w:val="00EB2F40"/>
    <w:rsid w:val="00EC5939"/>
    <w:rsid w:val="00EE52B0"/>
    <w:rsid w:val="00EE60C3"/>
    <w:rsid w:val="00F0737E"/>
    <w:rsid w:val="00F37E63"/>
    <w:rsid w:val="00F41940"/>
    <w:rsid w:val="00F5024B"/>
    <w:rsid w:val="00F522C7"/>
    <w:rsid w:val="00F57319"/>
    <w:rsid w:val="00F757DE"/>
    <w:rsid w:val="00F82B1E"/>
    <w:rsid w:val="00F91EF4"/>
    <w:rsid w:val="00F950C2"/>
    <w:rsid w:val="00FB3770"/>
    <w:rsid w:val="00FB7A39"/>
    <w:rsid w:val="00FC3027"/>
    <w:rsid w:val="00FC32D1"/>
    <w:rsid w:val="00FD0FA4"/>
    <w:rsid w:val="00FD72D9"/>
    <w:rsid w:val="00FD732C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เพศ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Sheet1!$E$372:$E$373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Sheet1!$F$372:$F$373</c:f>
              <c:numCache>
                <c:formatCode>General</c:formatCode>
                <c:ptCount val="2"/>
                <c:pt idx="0">
                  <c:v>13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การเตรียมความพร้อมของวิทยากร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Sheet1!$E$556:$E$560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Sheet1!$F$556:$F$560</c:f>
              <c:numCache>
                <c:formatCode>General</c:formatCode>
                <c:ptCount val="5"/>
                <c:pt idx="0">
                  <c:v>25</c:v>
                </c:pt>
                <c:pt idx="1">
                  <c:v>32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641792"/>
        <c:axId val="100754176"/>
      </c:barChart>
      <c:catAx>
        <c:axId val="1006417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0754176"/>
        <c:crosses val="autoZero"/>
        <c:auto val="1"/>
        <c:lblAlgn val="ctr"/>
        <c:lblOffset val="100"/>
        <c:noMultiLvlLbl val="0"/>
      </c:catAx>
      <c:valAx>
        <c:axId val="100754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6417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800">
                <a:effectLst/>
              </a:rPr>
              <a:t>ก่อนและหลังการอบรมมีความเข้าใจในการวิเคราะห์แผนบริหารความเสี่ยงของหน่วยงาน</a:t>
            </a:r>
            <a:endParaRPr lang="en-US" sz="18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33</c:v>
                </c:pt>
                <c:pt idx="3">
                  <c:v>14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43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1959936"/>
        <c:axId val="102027264"/>
      </c:barChart>
      <c:catAx>
        <c:axId val="101959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2027264"/>
        <c:crosses val="autoZero"/>
        <c:auto val="1"/>
        <c:lblAlgn val="ctr"/>
        <c:lblOffset val="100"/>
        <c:noMultiLvlLbl val="0"/>
      </c:catAx>
      <c:valAx>
        <c:axId val="102027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19599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 b="1" i="0" u="none" strike="noStrike" baseline="0">
                <a:effectLst/>
              </a:rPr>
              <a:t>สามารถนำความรู้ความเข้าใจที่ได้รับไปปรับใช้ในการวิเคราะห์แผนบริหารความเสี่ยงของหน่วยงาน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Sheet1!$E$573:$E$577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Sheet1!$F$573:$F$577</c:f>
              <c:numCache>
                <c:formatCode>General</c:formatCode>
                <c:ptCount val="5"/>
                <c:pt idx="0">
                  <c:v>7</c:v>
                </c:pt>
                <c:pt idx="1">
                  <c:v>48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089472"/>
        <c:axId val="102091008"/>
      </c:barChart>
      <c:catAx>
        <c:axId val="102089472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091008"/>
        <c:crosses val="autoZero"/>
        <c:auto val="1"/>
        <c:lblAlgn val="ctr"/>
        <c:lblOffset val="100"/>
        <c:noMultiLvlLbl val="0"/>
      </c:catAx>
      <c:valAx>
        <c:axId val="102091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0894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th-TH" sz="1400" b="1" i="0" u="none" strike="noStrike" baseline="0">
                <a:effectLst/>
              </a:rPr>
              <a:t>ผู้เข้าประชุมมีความสามารถในการวิเคราะห์แผนบริหารความเสี่ยงของหน่วยงานได้ตรงตามพันธกิจของหน่วยงาน</a:t>
            </a:r>
            <a:endParaRPr lang="en-US" sz="14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Sheet1!$E$593:$E$597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Sheet1!$F$593:$F$597</c:f>
              <c:numCache>
                <c:formatCode>General</c:formatCode>
                <c:ptCount val="5"/>
                <c:pt idx="0">
                  <c:v>8</c:v>
                </c:pt>
                <c:pt idx="1">
                  <c:v>47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177408"/>
        <c:axId val="102187392"/>
      </c:barChart>
      <c:catAx>
        <c:axId val="1021774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187392"/>
        <c:crosses val="autoZero"/>
        <c:auto val="1"/>
        <c:lblAlgn val="ctr"/>
        <c:lblOffset val="100"/>
        <c:noMultiLvlLbl val="0"/>
      </c:catAx>
      <c:valAx>
        <c:axId val="1021873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177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การต้อนรับ</a:t>
            </a:r>
            <a:r>
              <a:rPr lang="th-TH" sz="1500" baseline="0"/>
              <a:t> การอำนวยความสะดวก และการให้บริการ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18</c:v>
                </c:pt>
                <c:pt idx="1">
                  <c:v>45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204160"/>
        <c:axId val="102205696"/>
      </c:barChart>
      <c:catAx>
        <c:axId val="1022041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205696"/>
        <c:crosses val="autoZero"/>
        <c:auto val="1"/>
        <c:lblAlgn val="ctr"/>
        <c:lblOffset val="100"/>
        <c:noMultiLvlLbl val="0"/>
      </c:catAx>
      <c:valAx>
        <c:axId val="10220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204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ความเหมาะสมของสื่อ เครื่องมือโสตทัศนูปกรณ์ และเอกสารประกอบการเอบรม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16</c:v>
                </c:pt>
                <c:pt idx="1">
                  <c:v>45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263424"/>
        <c:axId val="102277504"/>
      </c:barChart>
      <c:catAx>
        <c:axId val="10226342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277504"/>
        <c:crosses val="autoZero"/>
        <c:auto val="1"/>
        <c:lblAlgn val="ctr"/>
        <c:lblOffset val="100"/>
        <c:noMultiLvlLbl val="0"/>
      </c:catAx>
      <c:valAx>
        <c:axId val="102277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2634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ความเหมาะสมของระยะเวลาในการประชุม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16</c:v>
                </c:pt>
                <c:pt idx="1">
                  <c:v>40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2290176"/>
        <c:axId val="102291712"/>
      </c:barChart>
      <c:catAx>
        <c:axId val="1022901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2291712"/>
        <c:crosses val="autoZero"/>
        <c:auto val="1"/>
        <c:lblAlgn val="ctr"/>
        <c:lblOffset val="100"/>
        <c:noMultiLvlLbl val="0"/>
      </c:catAx>
      <c:valAx>
        <c:axId val="102291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290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ความเหมาะสมของสถานที่</a:t>
            </a:r>
            <a:r>
              <a:rPr lang="th-TH" sz="1500" baseline="0"/>
              <a:t> / อาหาร / อาหารว่างและเครื่องดื่ม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21</c:v>
                </c:pt>
                <c:pt idx="1">
                  <c:v>37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637376"/>
        <c:axId val="107651456"/>
      </c:barChart>
      <c:catAx>
        <c:axId val="1076373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7651456"/>
        <c:crosses val="autoZero"/>
        <c:auto val="1"/>
        <c:lblAlgn val="ctr"/>
        <c:lblOffset val="100"/>
        <c:noMultiLvlLbl val="0"/>
      </c:catAx>
      <c:valAx>
        <c:axId val="107651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637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th-TH" sz="1500"/>
              <a:t>ภาพรวมต่อการจัดอบรมเชิงปฏิบัติการครั้งนี้</a:t>
            </a:r>
            <a:endParaRPr lang="en-US" sz="15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18</c:v>
                </c:pt>
                <c:pt idx="1">
                  <c:v>43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664128"/>
        <c:axId val="107665664"/>
      </c:barChart>
      <c:catAx>
        <c:axId val="107664128"/>
        <c:scaling>
          <c:orientation val="minMax"/>
        </c:scaling>
        <c:delete val="0"/>
        <c:axPos val="l"/>
        <c:majorTickMark val="none"/>
        <c:minorTickMark val="none"/>
        <c:tickLblPos val="nextTo"/>
        <c:crossAx val="107665664"/>
        <c:crosses val="autoZero"/>
        <c:auto val="1"/>
        <c:lblAlgn val="ctr"/>
        <c:lblOffset val="100"/>
        <c:noMultiLvlLbl val="0"/>
      </c:catAx>
      <c:valAx>
        <c:axId val="107665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664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Sheet1!$E$392:$E$394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Sheet1!$F$392:$F$394</c:f>
              <c:numCache>
                <c:formatCode>General</c:formatCode>
                <c:ptCount val="3"/>
                <c:pt idx="0">
                  <c:v>7</c:v>
                </c:pt>
                <c:pt idx="1">
                  <c:v>12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Sheet1!$E$414:$E$416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Sheet1!$F$414:$F$416</c:f>
              <c:numCache>
                <c:formatCode>General</c:formatCode>
                <c:ptCount val="3"/>
                <c:pt idx="0">
                  <c:v>0</c:v>
                </c:pt>
                <c:pt idx="1">
                  <c:v>33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Sheet1!$E$434:$E$436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Sheet1!$F$434:$F$436</c:f>
              <c:numCache>
                <c:formatCode>General</c:formatCode>
                <c:ptCount val="3"/>
                <c:pt idx="0">
                  <c:v>17</c:v>
                </c:pt>
                <c:pt idx="1">
                  <c:v>27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หน่วยงานในสังกัด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Sheet1!$E$454:$E$457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</c:strCache>
            </c:strRef>
          </c:cat>
          <c:val>
            <c:numRef>
              <c:f>Sheet1!$F$454:$F$457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3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วิทยากรมีความรอบรู้ในเนื้อหาและสามารถถ่ายทอดให้มีความเข้าใจในการจัดทำแผน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Sheet1!$E$478:$E$482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Sheet1!$F$478:$F$482</c:f>
              <c:numCache>
                <c:formatCode>General</c:formatCode>
                <c:ptCount val="5"/>
                <c:pt idx="0">
                  <c:v>13</c:v>
                </c:pt>
                <c:pt idx="1">
                  <c:v>46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0695552"/>
        <c:axId val="70701440"/>
      </c:barChart>
      <c:catAx>
        <c:axId val="70695552"/>
        <c:scaling>
          <c:orientation val="minMax"/>
        </c:scaling>
        <c:delete val="0"/>
        <c:axPos val="l"/>
        <c:majorTickMark val="none"/>
        <c:minorTickMark val="none"/>
        <c:tickLblPos val="nextTo"/>
        <c:crossAx val="70701440"/>
        <c:crosses val="autoZero"/>
        <c:auto val="1"/>
        <c:lblAlgn val="ctr"/>
        <c:lblOffset val="100"/>
        <c:noMultiLvlLbl val="0"/>
      </c:catAx>
      <c:valAx>
        <c:axId val="70701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695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วิทยากรมีความสามารถในการจัดลำดับความสัมพันธ์ของเนื้อหาที่สอดคล้องต่อเนื่อง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Sheet1!$E$498:$E$502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Sheet1!$F$498:$F$502</c:f>
              <c:numCache>
                <c:formatCode>General</c:formatCode>
                <c:ptCount val="5"/>
                <c:pt idx="0">
                  <c:v>14</c:v>
                </c:pt>
                <c:pt idx="1">
                  <c:v>43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9885824"/>
        <c:axId val="99887360"/>
      </c:barChart>
      <c:catAx>
        <c:axId val="99885824"/>
        <c:scaling>
          <c:orientation val="minMax"/>
        </c:scaling>
        <c:delete val="0"/>
        <c:axPos val="l"/>
        <c:majorTickMark val="none"/>
        <c:minorTickMark val="none"/>
        <c:tickLblPos val="nextTo"/>
        <c:crossAx val="99887360"/>
        <c:crosses val="autoZero"/>
        <c:auto val="1"/>
        <c:lblAlgn val="ctr"/>
        <c:lblOffset val="100"/>
        <c:noMultiLvlLbl val="0"/>
      </c:catAx>
      <c:valAx>
        <c:axId val="99887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8858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วิทยากรบรรยายด้วยน้ำเสียงดังชัดเจน ได้สาระใจความ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Sheet1!$E$516:$E$520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Sheet1!$F$516:$F$520</c:f>
              <c:numCache>
                <c:formatCode>General</c:formatCode>
                <c:ptCount val="5"/>
                <c:pt idx="0">
                  <c:v>17</c:v>
                </c:pt>
                <c:pt idx="1">
                  <c:v>41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076160"/>
        <c:axId val="100077952"/>
      </c:barChart>
      <c:catAx>
        <c:axId val="1000761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00077952"/>
        <c:crosses val="autoZero"/>
        <c:auto val="1"/>
        <c:lblAlgn val="ctr"/>
        <c:lblOffset val="100"/>
        <c:noMultiLvlLbl val="0"/>
      </c:catAx>
      <c:valAx>
        <c:axId val="1000779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0761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วิทยากรเปิดโอกาสให้ซักถาม/ตอบคำถาม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Sheet1!$E$537:$E$541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Sheet1!$F$537:$F$541</c:f>
              <c:numCache>
                <c:formatCode>General</c:formatCode>
                <c:ptCount val="5"/>
                <c:pt idx="0">
                  <c:v>21</c:v>
                </c:pt>
                <c:pt idx="1">
                  <c:v>36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0123776"/>
        <c:axId val="100125312"/>
      </c:barChart>
      <c:catAx>
        <c:axId val="1001237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00125312"/>
        <c:crosses val="autoZero"/>
        <c:auto val="1"/>
        <c:lblAlgn val="ctr"/>
        <c:lblOffset val="100"/>
        <c:noMultiLvlLbl val="0"/>
      </c:catAx>
      <c:valAx>
        <c:axId val="100125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0123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8D0B-76D9-4AB6-9E6F-FBA82288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dcterms:created xsi:type="dcterms:W3CDTF">2014-01-23T07:36:00Z</dcterms:created>
  <dcterms:modified xsi:type="dcterms:W3CDTF">2014-06-04T03:41:00Z</dcterms:modified>
</cp:coreProperties>
</file>